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82A22" w14:textId="77777777" w:rsidR="0035049A" w:rsidRDefault="007F2C27" w:rsidP="0035049A">
      <w:pPr>
        <w:jc w:val="center"/>
        <w:rPr>
          <w:b/>
          <w:bCs/>
          <w:color w:val="FF0000"/>
          <w:sz w:val="40"/>
          <w:szCs w:val="40"/>
        </w:rPr>
      </w:pPr>
      <w:r w:rsidRPr="002228BE">
        <w:rPr>
          <w:b/>
          <w:bCs/>
          <w:color w:val="FF0000"/>
          <w:sz w:val="40"/>
          <w:szCs w:val="40"/>
        </w:rPr>
        <w:t xml:space="preserve">Suzanne Goldberg and Catherine Lhamon Should Resign </w:t>
      </w:r>
      <w:r w:rsidR="00482EB9" w:rsidRPr="002228BE">
        <w:rPr>
          <w:b/>
          <w:bCs/>
          <w:color w:val="FF0000"/>
          <w:sz w:val="40"/>
          <w:szCs w:val="40"/>
        </w:rPr>
        <w:t>f</w:t>
      </w:r>
      <w:r w:rsidRPr="002228BE">
        <w:rPr>
          <w:b/>
          <w:bCs/>
          <w:color w:val="FF0000"/>
          <w:sz w:val="40"/>
          <w:szCs w:val="40"/>
        </w:rPr>
        <w:t xml:space="preserve">or </w:t>
      </w:r>
    </w:p>
    <w:p w14:paraId="7548A8C0" w14:textId="7F7EC568" w:rsidR="0035049A" w:rsidRDefault="003F19A9" w:rsidP="0035049A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Flagrant</w:t>
      </w:r>
      <w:r w:rsidR="007F2C27" w:rsidRPr="002228BE">
        <w:rPr>
          <w:b/>
          <w:bCs/>
          <w:color w:val="FF0000"/>
          <w:sz w:val="40"/>
          <w:szCs w:val="40"/>
        </w:rPr>
        <w:t xml:space="preserve"> Violations of the </w:t>
      </w:r>
      <w:r w:rsidR="004B4A63" w:rsidRPr="002228BE">
        <w:rPr>
          <w:b/>
          <w:bCs/>
          <w:color w:val="FF0000"/>
          <w:sz w:val="40"/>
          <w:szCs w:val="40"/>
        </w:rPr>
        <w:t>APA</w:t>
      </w:r>
      <w:r w:rsidR="000815C8" w:rsidRPr="002228BE">
        <w:rPr>
          <w:b/>
          <w:bCs/>
          <w:color w:val="FF0000"/>
          <w:sz w:val="40"/>
          <w:szCs w:val="40"/>
        </w:rPr>
        <w:t xml:space="preserve"> to Promote </w:t>
      </w:r>
    </w:p>
    <w:p w14:paraId="3D91EFF9" w14:textId="06B55348" w:rsidR="007F2C27" w:rsidRPr="002228BE" w:rsidRDefault="009F64FE" w:rsidP="0035049A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Lethal</w:t>
      </w:r>
      <w:r w:rsidR="000815C8" w:rsidRPr="002228BE">
        <w:rPr>
          <w:b/>
          <w:bCs/>
          <w:color w:val="FF0000"/>
          <w:sz w:val="40"/>
          <w:szCs w:val="40"/>
        </w:rPr>
        <w:t xml:space="preserve"> </w:t>
      </w:r>
      <w:r w:rsidR="009A1920" w:rsidRPr="002228BE">
        <w:rPr>
          <w:b/>
          <w:bCs/>
          <w:color w:val="FF0000"/>
          <w:sz w:val="40"/>
          <w:szCs w:val="40"/>
        </w:rPr>
        <w:t>Medical Experiment</w:t>
      </w:r>
    </w:p>
    <w:p w14:paraId="229331AE" w14:textId="01448C7C" w:rsidR="003C3768" w:rsidRDefault="003C3768" w:rsidP="007F2C27">
      <w:pPr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="004111CE">
        <w:rPr>
          <w:sz w:val="24"/>
          <w:szCs w:val="24"/>
        </w:rPr>
        <w:t>Deputy Assistant Secretary Goldberg and Assistant Secretary Lhamon:</w:t>
      </w:r>
    </w:p>
    <w:p w14:paraId="5586936B" w14:textId="5AD5D0A9" w:rsidR="007F2C27" w:rsidRDefault="007F2C27" w:rsidP="007F2C27">
      <w:pPr>
        <w:rPr>
          <w:sz w:val="24"/>
          <w:szCs w:val="24"/>
        </w:rPr>
      </w:pPr>
      <w:r>
        <w:rPr>
          <w:sz w:val="24"/>
          <w:szCs w:val="24"/>
        </w:rPr>
        <w:t xml:space="preserve">The Administrative Procedure Act was enacted by Congress in 1946 </w:t>
      </w:r>
      <w:r w:rsidR="00C46B31">
        <w:rPr>
          <w:sz w:val="24"/>
          <w:szCs w:val="24"/>
        </w:rPr>
        <w:t>due to</w:t>
      </w:r>
      <w:r>
        <w:rPr>
          <w:sz w:val="24"/>
          <w:szCs w:val="24"/>
        </w:rPr>
        <w:t xml:space="preserve"> concerns with </w:t>
      </w:r>
      <w:r w:rsidR="003F19A9">
        <w:rPr>
          <w:sz w:val="24"/>
          <w:szCs w:val="24"/>
        </w:rPr>
        <w:t xml:space="preserve">Executive Branch </w:t>
      </w:r>
      <w:r w:rsidR="00A92910">
        <w:rPr>
          <w:sz w:val="24"/>
          <w:szCs w:val="24"/>
        </w:rPr>
        <w:t>over-reach</w:t>
      </w:r>
      <w:r>
        <w:rPr>
          <w:sz w:val="24"/>
          <w:szCs w:val="24"/>
        </w:rPr>
        <w:t>. The APA requires that federal agencies follow these steps before implementing a new regulation:</w:t>
      </w:r>
      <w:r w:rsidR="009F0CCE">
        <w:rPr>
          <w:rStyle w:val="FootnoteReference"/>
          <w:sz w:val="24"/>
          <w:szCs w:val="24"/>
        </w:rPr>
        <w:footnoteReference w:id="1"/>
      </w:r>
      <w:r>
        <w:rPr>
          <w:sz w:val="24"/>
          <w:szCs w:val="24"/>
        </w:rPr>
        <w:t xml:space="preserve"> </w:t>
      </w:r>
      <w:r w:rsidR="003F19A9">
        <w:rPr>
          <w:sz w:val="24"/>
          <w:szCs w:val="24"/>
        </w:rPr>
        <w:t xml:space="preserve"> </w:t>
      </w:r>
    </w:p>
    <w:p w14:paraId="26D2485D" w14:textId="77777777" w:rsidR="007F2C27" w:rsidRDefault="007F2C27" w:rsidP="007F2C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4E8F">
        <w:rPr>
          <w:b/>
          <w:bCs/>
          <w:sz w:val="24"/>
          <w:szCs w:val="24"/>
        </w:rPr>
        <w:t>Notice</w:t>
      </w:r>
      <w:r>
        <w:rPr>
          <w:sz w:val="24"/>
          <w:szCs w:val="24"/>
        </w:rPr>
        <w:t>: “</w:t>
      </w:r>
      <w:r w:rsidRPr="009748E2">
        <w:rPr>
          <w:sz w:val="24"/>
          <w:szCs w:val="24"/>
        </w:rPr>
        <w:t xml:space="preserve">General notice of proposed </w:t>
      </w:r>
      <w:proofErr w:type="spellStart"/>
      <w:r w:rsidRPr="009748E2">
        <w:rPr>
          <w:sz w:val="24"/>
          <w:szCs w:val="24"/>
        </w:rPr>
        <w:t>rule making</w:t>
      </w:r>
      <w:proofErr w:type="spellEnd"/>
      <w:r w:rsidRPr="009748E2">
        <w:rPr>
          <w:sz w:val="24"/>
          <w:szCs w:val="24"/>
        </w:rPr>
        <w:t xml:space="preserve"> shall be published in the Federal Register</w:t>
      </w:r>
      <w:r>
        <w:rPr>
          <w:sz w:val="24"/>
          <w:szCs w:val="24"/>
        </w:rPr>
        <w:t>”</w:t>
      </w:r>
    </w:p>
    <w:p w14:paraId="6C2EDF1D" w14:textId="77777777" w:rsidR="007F2C27" w:rsidRDefault="007F2C27" w:rsidP="007F2C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4E8F">
        <w:rPr>
          <w:b/>
          <w:bCs/>
          <w:sz w:val="24"/>
          <w:szCs w:val="24"/>
        </w:rPr>
        <w:t>Opportunity for public review and comment</w:t>
      </w:r>
      <w:r>
        <w:rPr>
          <w:sz w:val="24"/>
          <w:szCs w:val="24"/>
        </w:rPr>
        <w:t>: “</w:t>
      </w:r>
      <w:r w:rsidRPr="009748E2">
        <w:rPr>
          <w:sz w:val="24"/>
          <w:szCs w:val="24"/>
        </w:rPr>
        <w:t>the agency shall give interested persons an opportunity to participate in the rule making through submission of written data, views, or arguments</w:t>
      </w:r>
      <w:r>
        <w:rPr>
          <w:sz w:val="24"/>
          <w:szCs w:val="24"/>
        </w:rPr>
        <w:t>.”</w:t>
      </w:r>
    </w:p>
    <w:p w14:paraId="5D3258BD" w14:textId="77777777" w:rsidR="007F2C27" w:rsidRDefault="007F2C27" w:rsidP="007F2C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4E8F">
        <w:rPr>
          <w:b/>
          <w:bCs/>
          <w:sz w:val="24"/>
          <w:szCs w:val="24"/>
        </w:rPr>
        <w:t>Agency’s response to public comments</w:t>
      </w:r>
      <w:r>
        <w:rPr>
          <w:sz w:val="24"/>
          <w:szCs w:val="24"/>
        </w:rPr>
        <w:t>: “</w:t>
      </w:r>
      <w:r w:rsidRPr="009748E2">
        <w:rPr>
          <w:sz w:val="24"/>
          <w:szCs w:val="24"/>
        </w:rPr>
        <w:t>the agency shall incorporate in the rules</w:t>
      </w:r>
      <w:r>
        <w:rPr>
          <w:sz w:val="24"/>
          <w:szCs w:val="24"/>
        </w:rPr>
        <w:t>…</w:t>
      </w:r>
      <w:r w:rsidRPr="009748E2">
        <w:rPr>
          <w:sz w:val="24"/>
          <w:szCs w:val="24"/>
        </w:rPr>
        <w:t>consideration of the relevant matter presented</w:t>
      </w:r>
      <w:r>
        <w:rPr>
          <w:sz w:val="24"/>
          <w:szCs w:val="24"/>
        </w:rPr>
        <w:t xml:space="preserve">.” </w:t>
      </w:r>
    </w:p>
    <w:p w14:paraId="01AAA830" w14:textId="0B8170AF" w:rsidR="007F2C27" w:rsidRDefault="007F2C27" w:rsidP="007F2C27">
      <w:pPr>
        <w:pStyle w:val="xxmsonormal"/>
        <w:spacing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bookmarkStart w:id="0" w:name="_Hlk147772811"/>
      <w:r w:rsidR="00E824EC">
        <w:rPr>
          <w:sz w:val="24"/>
          <w:szCs w:val="24"/>
        </w:rPr>
        <w:t>June</w:t>
      </w:r>
      <w:r>
        <w:rPr>
          <w:sz w:val="24"/>
          <w:szCs w:val="24"/>
        </w:rPr>
        <w:t xml:space="preserve"> 22, 2021</w:t>
      </w:r>
      <w:bookmarkEnd w:id="0"/>
      <w:r>
        <w:rPr>
          <w:sz w:val="24"/>
          <w:szCs w:val="24"/>
        </w:rPr>
        <w:t xml:space="preserve">, the </w:t>
      </w:r>
      <w:r w:rsidR="004B4A63">
        <w:rPr>
          <w:sz w:val="24"/>
          <w:szCs w:val="24"/>
        </w:rPr>
        <w:t>Department of Education Office for Civil Rights</w:t>
      </w:r>
      <w:r w:rsidR="009F0CCE">
        <w:rPr>
          <w:sz w:val="24"/>
          <w:szCs w:val="24"/>
        </w:rPr>
        <w:t xml:space="preserve"> unexpectedly</w:t>
      </w:r>
      <w:r>
        <w:rPr>
          <w:sz w:val="24"/>
          <w:szCs w:val="24"/>
        </w:rPr>
        <w:t xml:space="preserve"> </w:t>
      </w:r>
      <w:r w:rsidR="00C46B31">
        <w:rPr>
          <w:sz w:val="24"/>
          <w:szCs w:val="24"/>
        </w:rPr>
        <w:t>published</w:t>
      </w:r>
      <w:r>
        <w:rPr>
          <w:sz w:val="24"/>
          <w:szCs w:val="24"/>
        </w:rPr>
        <w:t xml:space="preserve"> a new </w:t>
      </w:r>
      <w:r w:rsidR="003F19A9">
        <w:rPr>
          <w:sz w:val="24"/>
          <w:szCs w:val="24"/>
        </w:rPr>
        <w:t xml:space="preserve">Title IX </w:t>
      </w:r>
      <w:r w:rsidR="009F0CCE">
        <w:rPr>
          <w:sz w:val="24"/>
          <w:szCs w:val="24"/>
        </w:rPr>
        <w:t>R</w:t>
      </w:r>
      <w:r>
        <w:rPr>
          <w:sz w:val="24"/>
          <w:szCs w:val="24"/>
        </w:rPr>
        <w:t>ule</w:t>
      </w:r>
      <w:r w:rsidR="004B4A63">
        <w:rPr>
          <w:sz w:val="24"/>
          <w:szCs w:val="24"/>
        </w:rPr>
        <w:t>.</w:t>
      </w:r>
      <w:r w:rsidR="009F0CCE">
        <w:rPr>
          <w:sz w:val="24"/>
          <w:szCs w:val="24"/>
        </w:rPr>
        <w:t xml:space="preserve"> </w:t>
      </w:r>
      <w:r w:rsidR="004B4A63">
        <w:rPr>
          <w:sz w:val="24"/>
          <w:szCs w:val="24"/>
        </w:rPr>
        <w:t>T</w:t>
      </w:r>
      <w:r w:rsidR="009F0CCE">
        <w:rPr>
          <w:sz w:val="24"/>
          <w:szCs w:val="24"/>
        </w:rPr>
        <w:t>he Federal Register</w:t>
      </w:r>
      <w:r>
        <w:rPr>
          <w:sz w:val="24"/>
          <w:szCs w:val="24"/>
        </w:rPr>
        <w:t xml:space="preserve"> </w:t>
      </w:r>
      <w:r w:rsidR="004B4A63">
        <w:rPr>
          <w:sz w:val="24"/>
          <w:szCs w:val="24"/>
        </w:rPr>
        <w:t>announcement</w:t>
      </w:r>
      <w:r>
        <w:rPr>
          <w:sz w:val="24"/>
          <w:szCs w:val="24"/>
        </w:rPr>
        <w:t xml:space="preserve"> </w:t>
      </w:r>
      <w:r w:rsidR="004111CE">
        <w:rPr>
          <w:sz w:val="24"/>
          <w:szCs w:val="24"/>
        </w:rPr>
        <w:t>asserted</w:t>
      </w:r>
      <w:r>
        <w:rPr>
          <w:sz w:val="24"/>
          <w:szCs w:val="24"/>
        </w:rPr>
        <w:t>, “</w:t>
      </w:r>
      <w:r w:rsidRPr="001F4E8F">
        <w:rPr>
          <w:sz w:val="24"/>
          <w:szCs w:val="24"/>
        </w:rPr>
        <w:t>Title IX prohibits discrimination based on sexual orientation and gender identity</w:t>
      </w:r>
      <w:r w:rsidR="009F0CCE">
        <w:rPr>
          <w:sz w:val="24"/>
          <w:szCs w:val="24"/>
        </w:rPr>
        <w:t>…</w:t>
      </w:r>
      <w:bookmarkStart w:id="1" w:name="_Hlk147772854"/>
      <w:r w:rsidR="009F0CCE" w:rsidRPr="009F0CCE">
        <w:rPr>
          <w:sz w:val="24"/>
          <w:szCs w:val="24"/>
        </w:rPr>
        <w:t>OCR will fully enforce Title IX to prohibit discrimination based on sexual orientation and gender identity in education programs and activities</w:t>
      </w:r>
      <w:bookmarkEnd w:id="1"/>
      <w:r>
        <w:rPr>
          <w:sz w:val="24"/>
          <w:szCs w:val="24"/>
        </w:rPr>
        <w:t>”</w:t>
      </w:r>
      <w:r w:rsidR="009F0CCE">
        <w:rPr>
          <w:rStyle w:val="FootnoteReference"/>
          <w:sz w:val="24"/>
          <w:szCs w:val="24"/>
        </w:rPr>
        <w:footnoteReference w:id="2"/>
      </w:r>
      <w:r w:rsidR="009F0CCE">
        <w:rPr>
          <w:sz w:val="24"/>
          <w:szCs w:val="24"/>
        </w:rPr>
        <w:t xml:space="preserve"> </w:t>
      </w:r>
      <w:r>
        <w:rPr>
          <w:sz w:val="24"/>
          <w:szCs w:val="24"/>
        </w:rPr>
        <w:t>The new policy took effect on the</w:t>
      </w:r>
      <w:r w:rsidR="009F0CCE">
        <w:rPr>
          <w:sz w:val="24"/>
          <w:szCs w:val="24"/>
        </w:rPr>
        <w:t xml:space="preserve"> </w:t>
      </w:r>
      <w:r>
        <w:rPr>
          <w:sz w:val="24"/>
          <w:szCs w:val="24"/>
        </w:rPr>
        <w:t>same day.</w:t>
      </w:r>
    </w:p>
    <w:p w14:paraId="132A3096" w14:textId="77777777" w:rsidR="004111CE" w:rsidRDefault="004111CE" w:rsidP="007F2C27">
      <w:pPr>
        <w:pStyle w:val="xxmsonormal"/>
        <w:spacing w:line="252" w:lineRule="auto"/>
        <w:rPr>
          <w:sz w:val="24"/>
          <w:szCs w:val="24"/>
        </w:rPr>
      </w:pPr>
    </w:p>
    <w:p w14:paraId="78D02332" w14:textId="61791991" w:rsidR="004111CE" w:rsidRDefault="004111CE" w:rsidP="004111CE">
      <w:pPr>
        <w:pStyle w:val="xxmsonormal"/>
        <w:spacing w:line="252" w:lineRule="auto"/>
        <w:rPr>
          <w:sz w:val="24"/>
          <w:szCs w:val="24"/>
        </w:rPr>
      </w:pPr>
      <w:bookmarkStart w:id="2" w:name="_Hlk148347445"/>
      <w:r>
        <w:rPr>
          <w:sz w:val="24"/>
          <w:szCs w:val="24"/>
        </w:rPr>
        <w:t xml:space="preserve">These actions </w:t>
      </w:r>
      <w:r w:rsidR="00DB39D8">
        <w:rPr>
          <w:sz w:val="24"/>
          <w:szCs w:val="24"/>
        </w:rPr>
        <w:t>represent</w:t>
      </w:r>
      <w:r>
        <w:rPr>
          <w:sz w:val="24"/>
          <w:szCs w:val="24"/>
        </w:rPr>
        <w:t xml:space="preserve"> a violation of all </w:t>
      </w:r>
      <w:r w:rsidR="00A46C5D">
        <w:rPr>
          <w:sz w:val="24"/>
          <w:szCs w:val="24"/>
        </w:rPr>
        <w:t>three</w:t>
      </w:r>
      <w:r>
        <w:rPr>
          <w:sz w:val="24"/>
          <w:szCs w:val="24"/>
        </w:rPr>
        <w:t xml:space="preserve"> APA requirements:</w:t>
      </w:r>
    </w:p>
    <w:p w14:paraId="63E336CA" w14:textId="77777777" w:rsidR="004111CE" w:rsidRDefault="004111CE" w:rsidP="004111CE">
      <w:pPr>
        <w:pStyle w:val="xxmsonormal"/>
        <w:spacing w:line="252" w:lineRule="auto"/>
        <w:rPr>
          <w:sz w:val="24"/>
          <w:szCs w:val="24"/>
        </w:rPr>
      </w:pPr>
    </w:p>
    <w:p w14:paraId="1EB9C684" w14:textId="77777777" w:rsidR="004111CE" w:rsidRDefault="004111CE" w:rsidP="004111CE">
      <w:pPr>
        <w:pStyle w:val="xxmsonormal"/>
        <w:numPr>
          <w:ilvl w:val="0"/>
          <w:numId w:val="2"/>
        </w:numPr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No prior notice.</w:t>
      </w:r>
    </w:p>
    <w:p w14:paraId="58017557" w14:textId="77777777" w:rsidR="004111CE" w:rsidRDefault="004111CE" w:rsidP="004111CE">
      <w:pPr>
        <w:pStyle w:val="xxmsonormal"/>
        <w:numPr>
          <w:ilvl w:val="0"/>
          <w:numId w:val="2"/>
        </w:numPr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No opportunity for public review and comment.</w:t>
      </w:r>
    </w:p>
    <w:p w14:paraId="4AFF7E12" w14:textId="77777777" w:rsidR="004111CE" w:rsidRDefault="004111CE" w:rsidP="004111CE">
      <w:pPr>
        <w:pStyle w:val="xxmsonormal"/>
        <w:numPr>
          <w:ilvl w:val="0"/>
          <w:numId w:val="2"/>
        </w:numPr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No agency response to public comments, since no comments had been solicited.</w:t>
      </w:r>
    </w:p>
    <w:bookmarkEnd w:id="2"/>
    <w:p w14:paraId="5D91825B" w14:textId="77777777" w:rsidR="004111CE" w:rsidRPr="004111CE" w:rsidRDefault="004111CE" w:rsidP="004111CE">
      <w:pPr>
        <w:pStyle w:val="xxmsonormal"/>
        <w:spacing w:line="252" w:lineRule="auto"/>
        <w:ind w:left="720"/>
        <w:rPr>
          <w:sz w:val="24"/>
          <w:szCs w:val="24"/>
        </w:rPr>
      </w:pPr>
    </w:p>
    <w:p w14:paraId="78673093" w14:textId="224B661A" w:rsidR="009F0CCE" w:rsidRPr="00022920" w:rsidRDefault="00B155A0" w:rsidP="00022920">
      <w:p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following day, the </w:t>
      </w:r>
      <w:r w:rsidR="004111CE">
        <w:rPr>
          <w:sz w:val="24"/>
          <w:szCs w:val="24"/>
        </w:rPr>
        <w:t xml:space="preserve">Department of Education </w:t>
      </w:r>
      <w:r>
        <w:rPr>
          <w:rFonts w:cstheme="minorHAnsi"/>
          <w:sz w:val="24"/>
          <w:szCs w:val="24"/>
        </w:rPr>
        <w:t>released a Dear Educator Letter that reiterate</w:t>
      </w:r>
      <w:r w:rsidR="001201A5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 the same warning that the </w:t>
      </w:r>
      <w:r w:rsidR="0051353B">
        <w:rPr>
          <w:rFonts w:cstheme="minorHAnsi"/>
          <w:sz w:val="24"/>
          <w:szCs w:val="24"/>
        </w:rPr>
        <w:t>Office for Civil Rights</w:t>
      </w:r>
      <w:r>
        <w:rPr>
          <w:rFonts w:cstheme="minorHAnsi"/>
          <w:sz w:val="24"/>
          <w:szCs w:val="24"/>
        </w:rPr>
        <w:t xml:space="preserve"> would “fully enforce Title IX to prohibit discrimination based on sexual orientation and gender identity.”</w:t>
      </w:r>
      <w:r w:rsidR="004B4A63">
        <w:rPr>
          <w:rStyle w:val="FootnoteReference"/>
          <w:rFonts w:cstheme="minorHAnsi"/>
          <w:sz w:val="24"/>
          <w:szCs w:val="24"/>
        </w:rPr>
        <w:footnoteReference w:id="3"/>
      </w:r>
    </w:p>
    <w:p w14:paraId="1AEA880E" w14:textId="7BEF35BB" w:rsidR="006D491F" w:rsidRDefault="009F0CCE" w:rsidP="00686FA4">
      <w:pPr>
        <w:pStyle w:val="xxmsonormal"/>
        <w:spacing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The new Rule was signed by </w:t>
      </w:r>
      <w:r w:rsidRPr="009F0CCE">
        <w:rPr>
          <w:sz w:val="24"/>
          <w:szCs w:val="24"/>
        </w:rPr>
        <w:t>Suzanne Goldberg</w:t>
      </w:r>
      <w:r>
        <w:rPr>
          <w:sz w:val="24"/>
          <w:szCs w:val="24"/>
        </w:rPr>
        <w:t xml:space="preserve">, </w:t>
      </w:r>
      <w:r w:rsidRPr="009F0CCE">
        <w:rPr>
          <w:sz w:val="24"/>
          <w:szCs w:val="24"/>
        </w:rPr>
        <w:t>Acting Assistant Secretary for Civil Rights</w:t>
      </w:r>
      <w:r w:rsidR="00686FA4">
        <w:rPr>
          <w:sz w:val="24"/>
          <w:szCs w:val="24"/>
        </w:rPr>
        <w:t xml:space="preserve">, and aggressively implemented by Catherine Lhamon </w:t>
      </w:r>
      <w:r w:rsidR="004111CE">
        <w:rPr>
          <w:sz w:val="24"/>
          <w:szCs w:val="24"/>
        </w:rPr>
        <w:t>upon</w:t>
      </w:r>
      <w:r w:rsidR="00686FA4">
        <w:rPr>
          <w:sz w:val="24"/>
          <w:szCs w:val="24"/>
        </w:rPr>
        <w:t xml:space="preserve"> </w:t>
      </w:r>
      <w:r w:rsidR="004111CE">
        <w:rPr>
          <w:sz w:val="24"/>
          <w:szCs w:val="24"/>
        </w:rPr>
        <w:t>taking</w:t>
      </w:r>
      <w:r w:rsidR="00686FA4">
        <w:rPr>
          <w:sz w:val="24"/>
          <w:szCs w:val="24"/>
        </w:rPr>
        <w:t xml:space="preserve"> over as</w:t>
      </w:r>
      <w:r w:rsidR="004111CE">
        <w:rPr>
          <w:sz w:val="24"/>
          <w:szCs w:val="24"/>
        </w:rPr>
        <w:t xml:space="preserve"> the</w:t>
      </w:r>
      <w:r w:rsidR="00686FA4">
        <w:rPr>
          <w:sz w:val="24"/>
          <w:szCs w:val="24"/>
        </w:rPr>
        <w:t xml:space="preserve"> </w:t>
      </w:r>
      <w:r w:rsidR="004111CE">
        <w:rPr>
          <w:sz w:val="24"/>
          <w:szCs w:val="24"/>
        </w:rPr>
        <w:t>Office for Civil Rights</w:t>
      </w:r>
      <w:r w:rsidR="00686FA4">
        <w:rPr>
          <w:sz w:val="24"/>
          <w:szCs w:val="24"/>
        </w:rPr>
        <w:t xml:space="preserve"> director on </w:t>
      </w:r>
      <w:r w:rsidR="00686FA4" w:rsidRPr="00686FA4">
        <w:rPr>
          <w:sz w:val="24"/>
          <w:szCs w:val="24"/>
        </w:rPr>
        <w:t>November 17, 2021</w:t>
      </w:r>
      <w:r w:rsidR="00686FA4">
        <w:rPr>
          <w:sz w:val="24"/>
          <w:szCs w:val="24"/>
        </w:rPr>
        <w:t>.</w:t>
      </w:r>
    </w:p>
    <w:p w14:paraId="04A951A3" w14:textId="77777777" w:rsidR="004111CE" w:rsidRPr="004111CE" w:rsidRDefault="004111CE" w:rsidP="00686FA4">
      <w:pPr>
        <w:pStyle w:val="xxmsonormal"/>
        <w:spacing w:line="252" w:lineRule="auto"/>
        <w:rPr>
          <w:sz w:val="24"/>
          <w:szCs w:val="24"/>
        </w:rPr>
      </w:pPr>
    </w:p>
    <w:p w14:paraId="643A3441" w14:textId="163B029D" w:rsidR="006D491F" w:rsidRDefault="006D491F" w:rsidP="006D491F">
      <w:pPr>
        <w:spacing w:line="254" w:lineRule="auto"/>
        <w:rPr>
          <w:rFonts w:cstheme="minorHAnsi"/>
          <w:sz w:val="24"/>
          <w:szCs w:val="24"/>
        </w:rPr>
      </w:pPr>
      <w:r w:rsidRPr="006D491F">
        <w:rPr>
          <w:rFonts w:cstheme="minorHAnsi"/>
          <w:sz w:val="24"/>
          <w:szCs w:val="24"/>
        </w:rPr>
        <w:t xml:space="preserve">In response, on August 30, 2021 the Attorneys General from 20 states -- AL, AK, AZ, AR, GA, ID, IN, KS, KY, LA, MS, MO, MT, NE, OH, OK, SC, SD, TN, and WV -- brought a 14-count lawsuit against the </w:t>
      </w:r>
      <w:r w:rsidR="003F19A9">
        <w:rPr>
          <w:rFonts w:cstheme="minorHAnsi"/>
          <w:sz w:val="24"/>
          <w:szCs w:val="24"/>
        </w:rPr>
        <w:t>Department of Education</w:t>
      </w:r>
      <w:r w:rsidRPr="006D491F">
        <w:rPr>
          <w:rFonts w:cstheme="minorHAnsi"/>
          <w:sz w:val="24"/>
          <w:szCs w:val="24"/>
        </w:rPr>
        <w:t>, alleging the</w:t>
      </w:r>
      <w:r w:rsidR="00D32C2E">
        <w:rPr>
          <w:rFonts w:cstheme="minorHAnsi"/>
          <w:sz w:val="24"/>
          <w:szCs w:val="24"/>
        </w:rPr>
        <w:t xml:space="preserve"> new</w:t>
      </w:r>
      <w:r w:rsidRPr="006D491F">
        <w:rPr>
          <w:rFonts w:cstheme="minorHAnsi"/>
          <w:sz w:val="24"/>
          <w:szCs w:val="24"/>
        </w:rPr>
        <w:t xml:space="preserve"> Title IX Rule was </w:t>
      </w:r>
      <w:r w:rsidRPr="006D491F">
        <w:rPr>
          <w:sz w:val="24"/>
          <w:szCs w:val="24"/>
        </w:rPr>
        <w:t>procedurally and substantively unlawful under the Administrative Procedure Act</w:t>
      </w:r>
      <w:r w:rsidRPr="006D491F">
        <w:rPr>
          <w:rFonts w:cstheme="minorHAnsi"/>
          <w:sz w:val="24"/>
          <w:szCs w:val="24"/>
        </w:rPr>
        <w:t>.</w:t>
      </w:r>
      <w:r>
        <w:rPr>
          <w:rStyle w:val="FootnoteReference"/>
          <w:rFonts w:cstheme="minorHAnsi"/>
          <w:sz w:val="24"/>
          <w:szCs w:val="24"/>
        </w:rPr>
        <w:footnoteReference w:id="4"/>
      </w:r>
      <w:r w:rsidRPr="006D491F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On</w:t>
      </w:r>
      <w:r w:rsidRPr="006D491F">
        <w:rPr>
          <w:rFonts w:cstheme="minorHAnsi"/>
          <w:sz w:val="24"/>
          <w:szCs w:val="24"/>
        </w:rPr>
        <w:t xml:space="preserve"> July 15, 2022, the District Court of Tennessee issued a Temporary Injunction against the</w:t>
      </w:r>
      <w:r>
        <w:rPr>
          <w:rFonts w:cstheme="minorHAnsi"/>
          <w:sz w:val="24"/>
          <w:szCs w:val="24"/>
        </w:rPr>
        <w:t xml:space="preserve"> OCR</w:t>
      </w:r>
      <w:r w:rsidRPr="006D491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Rule</w:t>
      </w:r>
      <w:r w:rsidRPr="006D491F">
        <w:rPr>
          <w:rFonts w:cstheme="minorHAnsi"/>
          <w:sz w:val="24"/>
          <w:szCs w:val="24"/>
        </w:rPr>
        <w:t>.</w:t>
      </w:r>
      <w:r>
        <w:rPr>
          <w:rStyle w:val="FootnoteReference"/>
          <w:rFonts w:cstheme="minorHAnsi"/>
          <w:sz w:val="24"/>
          <w:szCs w:val="24"/>
        </w:rPr>
        <w:footnoteReference w:id="5"/>
      </w:r>
    </w:p>
    <w:p w14:paraId="26EE4424" w14:textId="26F23693" w:rsidR="00BE3A2B" w:rsidRDefault="007903A9" w:rsidP="003F19A9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But the </w:t>
      </w:r>
      <w:r w:rsidR="00D910B3">
        <w:rPr>
          <w:rFonts w:cstheme="minorHAnsi"/>
          <w:sz w:val="24"/>
          <w:szCs w:val="24"/>
        </w:rPr>
        <w:t>effects have been far-reaching</w:t>
      </w:r>
      <w:r>
        <w:rPr>
          <w:rFonts w:cstheme="minorHAnsi"/>
          <w:sz w:val="24"/>
          <w:szCs w:val="24"/>
        </w:rPr>
        <w:t xml:space="preserve">. </w:t>
      </w:r>
      <w:r>
        <w:rPr>
          <w:sz w:val="24"/>
          <w:szCs w:val="24"/>
        </w:rPr>
        <w:t xml:space="preserve">At last count, </w:t>
      </w:r>
      <w:r>
        <w:rPr>
          <w:rFonts w:cstheme="minorHAnsi"/>
          <w:sz w:val="24"/>
          <w:szCs w:val="24"/>
        </w:rPr>
        <w:t>18,355 schools around the country now have policies stating school</w:t>
      </w:r>
      <w:r w:rsidRPr="002C657B">
        <w:rPr>
          <w:rFonts w:cstheme="minorHAnsi"/>
          <w:sz w:val="24"/>
          <w:szCs w:val="24"/>
        </w:rPr>
        <w:t xml:space="preserve"> personnel can or should keep a student’s transgender status hidden from parents.</w:t>
      </w:r>
      <w:r>
        <w:rPr>
          <w:rStyle w:val="FootnoteReference"/>
          <w:rFonts w:cstheme="minorHAnsi"/>
          <w:sz w:val="24"/>
          <w:szCs w:val="24"/>
        </w:rPr>
        <w:footnoteReference w:id="6"/>
      </w:r>
      <w:r>
        <w:rPr>
          <w:rFonts w:cstheme="minorHAnsi"/>
          <w:sz w:val="24"/>
          <w:szCs w:val="24"/>
        </w:rPr>
        <w:t xml:space="preserve"> </w:t>
      </w:r>
      <w:bookmarkStart w:id="3" w:name="_Hlk148347158"/>
      <w:r w:rsidR="00CA0DE8">
        <w:rPr>
          <w:sz w:val="24"/>
          <w:szCs w:val="24"/>
        </w:rPr>
        <w:t>About 300,000 American youth ages 13-17 now identify as transgender, representing a doubling of their numbers in the past five years</w:t>
      </w:r>
      <w:bookmarkEnd w:id="3"/>
      <w:r w:rsidR="006D17C8">
        <w:rPr>
          <w:sz w:val="24"/>
          <w:szCs w:val="24"/>
        </w:rPr>
        <w:t>.</w:t>
      </w:r>
      <w:r w:rsidR="00CA0DE8">
        <w:rPr>
          <w:rStyle w:val="FootnoteReference"/>
          <w:sz w:val="24"/>
          <w:szCs w:val="24"/>
        </w:rPr>
        <w:footnoteReference w:id="7"/>
      </w:r>
      <w:r w:rsidR="00CA0DE8">
        <w:rPr>
          <w:sz w:val="24"/>
          <w:szCs w:val="24"/>
        </w:rPr>
        <w:t xml:space="preserve"> </w:t>
      </w:r>
    </w:p>
    <w:p w14:paraId="5B2C5477" w14:textId="79306AE2" w:rsidR="00BE3A2B" w:rsidRDefault="00BE3A2B" w:rsidP="00686FA4">
      <w:pPr>
        <w:pStyle w:val="xxmsonormal"/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The</w:t>
      </w:r>
      <w:r w:rsidR="00D32C2E">
        <w:rPr>
          <w:sz w:val="24"/>
          <w:szCs w:val="24"/>
        </w:rPr>
        <w:t xml:space="preserve"> psychological and physical</w:t>
      </w:r>
      <w:r>
        <w:rPr>
          <w:sz w:val="24"/>
          <w:szCs w:val="24"/>
        </w:rPr>
        <w:t xml:space="preserve"> harm to these youth is </w:t>
      </w:r>
      <w:r w:rsidR="00D32C2E">
        <w:rPr>
          <w:sz w:val="24"/>
          <w:szCs w:val="24"/>
        </w:rPr>
        <w:t>difficult to fathom</w:t>
      </w:r>
      <w:r w:rsidR="003F19A9">
        <w:rPr>
          <w:sz w:val="24"/>
          <w:szCs w:val="24"/>
        </w:rPr>
        <w:t xml:space="preserve">. </w:t>
      </w:r>
      <w:r w:rsidR="00180416">
        <w:rPr>
          <w:sz w:val="24"/>
          <w:szCs w:val="24"/>
        </w:rPr>
        <w:t>T</w:t>
      </w:r>
      <w:r w:rsidR="003F19A9">
        <w:rPr>
          <w:sz w:val="24"/>
          <w:szCs w:val="24"/>
        </w:rPr>
        <w:t>hird-party reports reveal the following</w:t>
      </w:r>
      <w:r>
        <w:rPr>
          <w:sz w:val="24"/>
          <w:szCs w:val="24"/>
        </w:rPr>
        <w:t>:</w:t>
      </w:r>
    </w:p>
    <w:p w14:paraId="2506916D" w14:textId="77777777" w:rsidR="00BE3A2B" w:rsidRDefault="00BE3A2B" w:rsidP="00686FA4">
      <w:pPr>
        <w:pStyle w:val="xxmsonormal"/>
        <w:spacing w:line="252" w:lineRule="auto"/>
        <w:rPr>
          <w:sz w:val="24"/>
          <w:szCs w:val="24"/>
        </w:rPr>
      </w:pPr>
    </w:p>
    <w:p w14:paraId="064102D2" w14:textId="03EA2E6F" w:rsidR="007C6743" w:rsidRDefault="007C6743" w:rsidP="00BE3A2B">
      <w:pPr>
        <w:pStyle w:val="ListParagraph"/>
        <w:numPr>
          <w:ilvl w:val="0"/>
          <w:numId w:val="5"/>
        </w:numPr>
        <w:spacing w:line="254" w:lineRule="auto"/>
        <w:rPr>
          <w:rFonts w:cstheme="minorHAnsi"/>
          <w:sz w:val="24"/>
          <w:szCs w:val="24"/>
        </w:rPr>
      </w:pPr>
      <w:r w:rsidRPr="006D491F">
        <w:rPr>
          <w:rFonts w:cstheme="minorHAnsi"/>
          <w:b/>
          <w:bCs/>
          <w:sz w:val="24"/>
          <w:szCs w:val="24"/>
        </w:rPr>
        <w:t xml:space="preserve">Mental </w:t>
      </w:r>
      <w:r w:rsidR="00A46C5D">
        <w:rPr>
          <w:rFonts w:cstheme="minorHAnsi"/>
          <w:b/>
          <w:bCs/>
          <w:sz w:val="24"/>
          <w:szCs w:val="24"/>
        </w:rPr>
        <w:t>h</w:t>
      </w:r>
      <w:r w:rsidRPr="006D491F">
        <w:rPr>
          <w:rFonts w:cstheme="minorHAnsi"/>
          <w:b/>
          <w:bCs/>
          <w:sz w:val="24"/>
          <w:szCs w:val="24"/>
        </w:rPr>
        <w:t>ealth</w:t>
      </w:r>
      <w:r>
        <w:rPr>
          <w:rFonts w:cstheme="minorHAnsi"/>
          <w:sz w:val="24"/>
          <w:szCs w:val="24"/>
        </w:rPr>
        <w:t>: “</w:t>
      </w:r>
      <w:r w:rsidRPr="007C6743">
        <w:rPr>
          <w:rFonts w:cstheme="minorHAnsi"/>
          <w:sz w:val="24"/>
          <w:szCs w:val="24"/>
        </w:rPr>
        <w:t>Transgender children are at least three times as likely as their cisgender peers to experience depression, anxiety</w:t>
      </w:r>
      <w:r w:rsidR="00F83170">
        <w:rPr>
          <w:rFonts w:cstheme="minorHAnsi"/>
          <w:sz w:val="24"/>
          <w:szCs w:val="24"/>
        </w:rPr>
        <w:t>,</w:t>
      </w:r>
      <w:r w:rsidRPr="007C6743">
        <w:rPr>
          <w:rFonts w:cstheme="minorHAnsi"/>
          <w:sz w:val="24"/>
          <w:szCs w:val="24"/>
        </w:rPr>
        <w:t xml:space="preserve"> and neurodevelopmental disorders including ADHD</w:t>
      </w:r>
      <w:r>
        <w:rPr>
          <w:rFonts w:cstheme="minorHAnsi"/>
          <w:sz w:val="24"/>
          <w:szCs w:val="24"/>
        </w:rPr>
        <w:t>.”</w:t>
      </w:r>
      <w:r>
        <w:rPr>
          <w:rStyle w:val="FootnoteReference"/>
          <w:rFonts w:cstheme="minorHAnsi"/>
          <w:sz w:val="24"/>
          <w:szCs w:val="24"/>
        </w:rPr>
        <w:footnoteReference w:id="8"/>
      </w:r>
    </w:p>
    <w:p w14:paraId="2721A3FB" w14:textId="1AA39702" w:rsidR="007C6743" w:rsidRDefault="007C6743" w:rsidP="00BE3A2B">
      <w:pPr>
        <w:pStyle w:val="ListParagraph"/>
        <w:numPr>
          <w:ilvl w:val="0"/>
          <w:numId w:val="5"/>
        </w:numPr>
        <w:spacing w:line="254" w:lineRule="auto"/>
        <w:rPr>
          <w:rFonts w:cstheme="minorHAnsi"/>
          <w:sz w:val="24"/>
          <w:szCs w:val="24"/>
        </w:rPr>
      </w:pPr>
      <w:r w:rsidRPr="006D491F">
        <w:rPr>
          <w:rFonts w:cstheme="minorHAnsi"/>
          <w:b/>
          <w:bCs/>
          <w:sz w:val="24"/>
          <w:szCs w:val="24"/>
        </w:rPr>
        <w:t>Suicid</w:t>
      </w:r>
      <w:r w:rsidR="00B7504B" w:rsidRPr="006D491F">
        <w:rPr>
          <w:rFonts w:cstheme="minorHAnsi"/>
          <w:b/>
          <w:bCs/>
          <w:sz w:val="24"/>
          <w:szCs w:val="24"/>
        </w:rPr>
        <w:t>e</w:t>
      </w:r>
      <w:r>
        <w:rPr>
          <w:rFonts w:cstheme="minorHAnsi"/>
          <w:sz w:val="24"/>
          <w:szCs w:val="24"/>
        </w:rPr>
        <w:t>:</w:t>
      </w:r>
      <w:r w:rsidR="00180416">
        <w:rPr>
          <w:rFonts w:cstheme="minorHAnsi"/>
          <w:sz w:val="24"/>
          <w:szCs w:val="24"/>
        </w:rPr>
        <w:t xml:space="preserve"> “</w:t>
      </w:r>
      <w:bookmarkStart w:id="5" w:name="_Hlk148348957"/>
      <w:bookmarkStart w:id="6" w:name="_Hlk148348784"/>
      <w:r w:rsidR="00180416">
        <w:rPr>
          <w:rFonts w:cstheme="minorHAnsi"/>
          <w:sz w:val="24"/>
          <w:szCs w:val="24"/>
        </w:rPr>
        <w:t>18</w:t>
      </w:r>
      <w:r w:rsidR="00180416" w:rsidRPr="00180416">
        <w:rPr>
          <w:rFonts w:cstheme="minorHAnsi"/>
          <w:sz w:val="24"/>
          <w:szCs w:val="24"/>
        </w:rPr>
        <w:t>% of LGBTQ youth attempt</w:t>
      </w:r>
      <w:r w:rsidR="00180416">
        <w:rPr>
          <w:rFonts w:cstheme="minorHAnsi"/>
          <w:sz w:val="24"/>
          <w:szCs w:val="24"/>
        </w:rPr>
        <w:t>ed</w:t>
      </w:r>
      <w:r w:rsidR="00180416" w:rsidRPr="00180416">
        <w:rPr>
          <w:rFonts w:cstheme="minorHAnsi"/>
          <w:sz w:val="24"/>
          <w:szCs w:val="24"/>
        </w:rPr>
        <w:t xml:space="preserve"> suicide in the past year</w:t>
      </w:r>
      <w:bookmarkEnd w:id="5"/>
      <w:r w:rsidR="002748EE" w:rsidRPr="002748EE">
        <w:rPr>
          <w:rFonts w:cstheme="minorHAnsi"/>
          <w:sz w:val="24"/>
          <w:szCs w:val="24"/>
        </w:rPr>
        <w:t>.</w:t>
      </w:r>
      <w:r w:rsidR="002748EE">
        <w:rPr>
          <w:rFonts w:cstheme="minorHAnsi"/>
          <w:sz w:val="24"/>
          <w:szCs w:val="24"/>
        </w:rPr>
        <w:t>”</w:t>
      </w:r>
      <w:r>
        <w:rPr>
          <w:rStyle w:val="FootnoteReference"/>
          <w:rFonts w:cstheme="minorHAnsi"/>
          <w:sz w:val="24"/>
          <w:szCs w:val="24"/>
        </w:rPr>
        <w:footnoteReference w:id="9"/>
      </w:r>
      <w:bookmarkEnd w:id="6"/>
    </w:p>
    <w:p w14:paraId="23917203" w14:textId="15460BAD" w:rsidR="00BE3A2B" w:rsidRDefault="006D491F" w:rsidP="00BE3A2B">
      <w:pPr>
        <w:pStyle w:val="ListParagraph"/>
        <w:numPr>
          <w:ilvl w:val="0"/>
          <w:numId w:val="5"/>
        </w:numPr>
        <w:spacing w:line="254" w:lineRule="auto"/>
        <w:rPr>
          <w:rFonts w:cstheme="minorHAnsi"/>
          <w:sz w:val="24"/>
          <w:szCs w:val="24"/>
        </w:rPr>
      </w:pPr>
      <w:r w:rsidRPr="006D491F">
        <w:rPr>
          <w:rFonts w:cstheme="minorHAnsi"/>
          <w:b/>
          <w:bCs/>
          <w:sz w:val="24"/>
          <w:szCs w:val="24"/>
        </w:rPr>
        <w:t xml:space="preserve">Gender </w:t>
      </w:r>
      <w:r w:rsidR="00A46C5D">
        <w:rPr>
          <w:rFonts w:cstheme="minorHAnsi"/>
          <w:b/>
          <w:bCs/>
          <w:sz w:val="24"/>
          <w:szCs w:val="24"/>
        </w:rPr>
        <w:t>t</w:t>
      </w:r>
      <w:r w:rsidRPr="006D491F">
        <w:rPr>
          <w:rFonts w:cstheme="minorHAnsi"/>
          <w:b/>
          <w:bCs/>
          <w:sz w:val="24"/>
          <w:szCs w:val="24"/>
        </w:rPr>
        <w:t>ransitioning</w:t>
      </w:r>
      <w:r>
        <w:rPr>
          <w:rFonts w:cstheme="minorHAnsi"/>
          <w:sz w:val="24"/>
          <w:szCs w:val="24"/>
        </w:rPr>
        <w:t xml:space="preserve">: </w:t>
      </w:r>
      <w:r w:rsidR="00BE3A2B">
        <w:rPr>
          <w:rFonts w:cstheme="minorHAnsi"/>
          <w:sz w:val="24"/>
          <w:szCs w:val="24"/>
        </w:rPr>
        <w:t>Many of these youth eventually undergo</w:t>
      </w:r>
      <w:r>
        <w:rPr>
          <w:rFonts w:cstheme="minorHAnsi"/>
          <w:sz w:val="24"/>
          <w:szCs w:val="24"/>
        </w:rPr>
        <w:t xml:space="preserve"> a</w:t>
      </w:r>
      <w:r w:rsidR="00BE3A2B">
        <w:rPr>
          <w:rFonts w:cstheme="minorHAnsi"/>
          <w:sz w:val="24"/>
          <w:szCs w:val="24"/>
        </w:rPr>
        <w:t xml:space="preserve"> </w:t>
      </w:r>
      <w:r w:rsidR="007C6743">
        <w:rPr>
          <w:rFonts w:cstheme="minorHAnsi"/>
          <w:sz w:val="24"/>
          <w:szCs w:val="24"/>
        </w:rPr>
        <w:t>complete gender transitioning, rendering them infertile</w:t>
      </w:r>
      <w:r w:rsidR="00D2267E">
        <w:rPr>
          <w:rFonts w:cstheme="minorHAnsi"/>
          <w:sz w:val="24"/>
          <w:szCs w:val="24"/>
        </w:rPr>
        <w:t xml:space="preserve"> for life</w:t>
      </w:r>
      <w:r w:rsidR="007C6743">
        <w:rPr>
          <w:rFonts w:cstheme="minorHAnsi"/>
          <w:sz w:val="24"/>
          <w:szCs w:val="24"/>
        </w:rPr>
        <w:t>.</w:t>
      </w:r>
      <w:r w:rsidR="002748EE">
        <w:rPr>
          <w:rStyle w:val="FootnoteReference"/>
          <w:rFonts w:cstheme="minorHAnsi"/>
          <w:sz w:val="24"/>
          <w:szCs w:val="24"/>
        </w:rPr>
        <w:footnoteReference w:id="10"/>
      </w:r>
    </w:p>
    <w:p w14:paraId="5F2C5CCE" w14:textId="31A7AB48" w:rsidR="00BE3A2B" w:rsidRPr="007903A9" w:rsidRDefault="00B155A0" w:rsidP="007903A9">
      <w:pPr>
        <w:spacing w:line="254" w:lineRule="auto"/>
        <w:rPr>
          <w:rFonts w:cstheme="minorHAnsi"/>
          <w:sz w:val="24"/>
          <w:szCs w:val="24"/>
        </w:rPr>
      </w:pPr>
      <w:bookmarkStart w:id="7" w:name="_Hlk148347226"/>
      <w:r w:rsidRPr="00B155A0">
        <w:rPr>
          <w:rFonts w:cstheme="minorHAnsi"/>
          <w:sz w:val="24"/>
          <w:szCs w:val="24"/>
        </w:rPr>
        <w:t>Encouraging</w:t>
      </w:r>
      <w:r w:rsidR="00171217">
        <w:rPr>
          <w:rFonts w:cstheme="minorHAnsi"/>
          <w:sz w:val="24"/>
          <w:szCs w:val="24"/>
        </w:rPr>
        <w:t xml:space="preserve"> hundreds of thousands of</w:t>
      </w:r>
      <w:r w:rsidRPr="00B155A0">
        <w:rPr>
          <w:rFonts w:cstheme="minorHAnsi"/>
          <w:sz w:val="24"/>
          <w:szCs w:val="24"/>
        </w:rPr>
        <w:t xml:space="preserve"> children and youth to transition to a different sex represents a</w:t>
      </w:r>
      <w:r>
        <w:rPr>
          <w:rFonts w:cstheme="minorHAnsi"/>
          <w:sz w:val="24"/>
          <w:szCs w:val="24"/>
        </w:rPr>
        <w:t xml:space="preserve"> </w:t>
      </w:r>
      <w:r w:rsidRPr="00B155A0">
        <w:rPr>
          <w:rFonts w:cstheme="minorHAnsi"/>
          <w:sz w:val="24"/>
          <w:szCs w:val="24"/>
        </w:rPr>
        <w:t>radical</w:t>
      </w:r>
      <w:r>
        <w:rPr>
          <w:rFonts w:cstheme="minorHAnsi"/>
          <w:sz w:val="24"/>
          <w:szCs w:val="24"/>
        </w:rPr>
        <w:t xml:space="preserve"> medical </w:t>
      </w:r>
      <w:r w:rsidRPr="00B155A0">
        <w:rPr>
          <w:rFonts w:cstheme="minorHAnsi"/>
          <w:sz w:val="24"/>
          <w:szCs w:val="24"/>
        </w:rPr>
        <w:t>experiment</w:t>
      </w:r>
      <w:r w:rsidR="00D72C5C">
        <w:rPr>
          <w:rFonts w:cstheme="minorHAnsi"/>
          <w:sz w:val="24"/>
          <w:szCs w:val="24"/>
        </w:rPr>
        <w:t>.</w:t>
      </w:r>
      <w:r w:rsidRPr="00B155A0">
        <w:rPr>
          <w:rFonts w:cstheme="minorHAnsi"/>
          <w:sz w:val="24"/>
          <w:szCs w:val="24"/>
        </w:rPr>
        <w:t xml:space="preserve"> </w:t>
      </w:r>
      <w:r w:rsidR="003F19A9">
        <w:rPr>
          <w:rFonts w:cstheme="minorHAnsi"/>
          <w:sz w:val="24"/>
          <w:szCs w:val="24"/>
        </w:rPr>
        <w:t>In the words of ethicist</w:t>
      </w:r>
      <w:r w:rsidR="003F19A9" w:rsidRPr="00B155A0">
        <w:rPr>
          <w:rFonts w:cstheme="minorHAnsi"/>
          <w:sz w:val="24"/>
          <w:szCs w:val="24"/>
        </w:rPr>
        <w:t xml:space="preserve"> Ryan Anderson</w:t>
      </w:r>
      <w:r w:rsidR="003F19A9">
        <w:rPr>
          <w:rFonts w:cstheme="minorHAnsi"/>
          <w:sz w:val="24"/>
          <w:szCs w:val="24"/>
        </w:rPr>
        <w:t xml:space="preserve">, </w:t>
      </w:r>
      <w:r w:rsidRPr="00B155A0">
        <w:rPr>
          <w:rFonts w:cstheme="minorHAnsi"/>
          <w:sz w:val="24"/>
          <w:szCs w:val="24"/>
        </w:rPr>
        <w:t>“</w:t>
      </w:r>
      <w:r w:rsidRPr="003F19A9">
        <w:rPr>
          <w:rFonts w:cstheme="minorHAnsi"/>
          <w:i/>
          <w:iCs/>
          <w:sz w:val="24"/>
          <w:szCs w:val="24"/>
        </w:rPr>
        <w:t>Doctors are conducting a giant experiment that does not come close to the ethical standards demanded in other areas of medicine</w:t>
      </w:r>
      <w:bookmarkEnd w:id="7"/>
      <w:r w:rsidR="003F19A9" w:rsidRPr="003F19A9">
        <w:rPr>
          <w:rFonts w:cstheme="minorHAnsi"/>
          <w:i/>
          <w:iCs/>
          <w:sz w:val="24"/>
          <w:szCs w:val="24"/>
        </w:rPr>
        <w:t>.</w:t>
      </w:r>
      <w:r w:rsidRPr="003F19A9">
        <w:rPr>
          <w:rFonts w:cstheme="minorHAnsi"/>
          <w:i/>
          <w:iCs/>
          <w:sz w:val="24"/>
          <w:szCs w:val="24"/>
        </w:rPr>
        <w:t>”</w:t>
      </w:r>
      <w:r w:rsidRPr="003F19A9">
        <w:rPr>
          <w:rStyle w:val="FootnoteReference"/>
          <w:rFonts w:cstheme="minorHAnsi"/>
          <w:i/>
          <w:iCs/>
          <w:sz w:val="24"/>
          <w:szCs w:val="24"/>
        </w:rPr>
        <w:footnoteReference w:id="11"/>
      </w:r>
    </w:p>
    <w:p w14:paraId="09792B88" w14:textId="7BBE05C4" w:rsidR="00BE3A2B" w:rsidRDefault="007903A9" w:rsidP="00686FA4">
      <w:pPr>
        <w:pStyle w:val="xxmsonormal"/>
        <w:spacing w:line="25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</w:t>
      </w:r>
      <w:r w:rsidR="004111CE">
        <w:rPr>
          <w:rFonts w:cstheme="minorHAnsi"/>
          <w:sz w:val="24"/>
          <w:szCs w:val="24"/>
        </w:rPr>
        <w:t>se</w:t>
      </w:r>
      <w:r>
        <w:rPr>
          <w:rFonts w:cstheme="minorHAnsi"/>
          <w:sz w:val="24"/>
          <w:szCs w:val="24"/>
        </w:rPr>
        <w:t xml:space="preserve"> </w:t>
      </w:r>
      <w:r w:rsidR="004111CE">
        <w:rPr>
          <w:rFonts w:cstheme="minorHAnsi"/>
          <w:sz w:val="24"/>
          <w:szCs w:val="24"/>
        </w:rPr>
        <w:t>violations of the Administrative Procedure Act</w:t>
      </w:r>
      <w:r>
        <w:rPr>
          <w:rFonts w:cstheme="minorHAnsi"/>
          <w:sz w:val="24"/>
          <w:szCs w:val="24"/>
        </w:rPr>
        <w:t xml:space="preserve"> </w:t>
      </w:r>
      <w:r w:rsidR="003F19A9">
        <w:rPr>
          <w:rFonts w:cstheme="minorHAnsi"/>
          <w:sz w:val="24"/>
          <w:szCs w:val="24"/>
        </w:rPr>
        <w:t>are</w:t>
      </w:r>
      <w:r>
        <w:rPr>
          <w:rFonts w:cstheme="minorHAnsi"/>
          <w:sz w:val="24"/>
          <w:szCs w:val="24"/>
        </w:rPr>
        <w:t xml:space="preserve"> unlawful,</w:t>
      </w:r>
      <w:r w:rsidR="004111CE">
        <w:rPr>
          <w:rFonts w:cstheme="minorHAnsi"/>
          <w:sz w:val="24"/>
          <w:szCs w:val="24"/>
        </w:rPr>
        <w:t xml:space="preserve"> willful,</w:t>
      </w:r>
      <w:r>
        <w:rPr>
          <w:rFonts w:cstheme="minorHAnsi"/>
          <w:sz w:val="24"/>
          <w:szCs w:val="24"/>
        </w:rPr>
        <w:t xml:space="preserve"> and</w:t>
      </w:r>
      <w:r w:rsidR="004111CE">
        <w:rPr>
          <w:rFonts w:cstheme="minorHAnsi"/>
          <w:sz w:val="24"/>
          <w:szCs w:val="24"/>
        </w:rPr>
        <w:t xml:space="preserve"> utterly </w:t>
      </w:r>
      <w:r w:rsidR="00171217">
        <w:rPr>
          <w:rFonts w:cstheme="minorHAnsi"/>
          <w:sz w:val="24"/>
          <w:szCs w:val="24"/>
        </w:rPr>
        <w:t>contrary</w:t>
      </w:r>
      <w:r>
        <w:rPr>
          <w:rFonts w:cstheme="minorHAnsi"/>
          <w:sz w:val="24"/>
          <w:szCs w:val="24"/>
        </w:rPr>
        <w:t xml:space="preserve"> to the public interest</w:t>
      </w:r>
      <w:r w:rsidR="004111CE">
        <w:rPr>
          <w:rFonts w:cstheme="minorHAnsi"/>
          <w:sz w:val="24"/>
          <w:szCs w:val="24"/>
        </w:rPr>
        <w:t>. We</w:t>
      </w:r>
      <w:r>
        <w:rPr>
          <w:rFonts w:cstheme="minorHAnsi"/>
          <w:sz w:val="24"/>
          <w:szCs w:val="24"/>
        </w:rPr>
        <w:t xml:space="preserve"> </w:t>
      </w:r>
      <w:r w:rsidR="004111CE">
        <w:rPr>
          <w:rFonts w:cstheme="minorHAnsi"/>
          <w:sz w:val="24"/>
          <w:szCs w:val="24"/>
        </w:rPr>
        <w:t>call on you to immediately resign your</w:t>
      </w:r>
      <w:r>
        <w:rPr>
          <w:rFonts w:cstheme="minorHAnsi"/>
          <w:sz w:val="24"/>
          <w:szCs w:val="24"/>
        </w:rPr>
        <w:t xml:space="preserve"> positions at the U.S. Department of Education.</w:t>
      </w:r>
    </w:p>
    <w:p w14:paraId="113CC156" w14:textId="77777777" w:rsidR="004111CE" w:rsidRDefault="004111CE" w:rsidP="00686FA4">
      <w:pPr>
        <w:pStyle w:val="xxmsonormal"/>
        <w:spacing w:line="252" w:lineRule="auto"/>
        <w:rPr>
          <w:rFonts w:cstheme="minorHAnsi"/>
          <w:sz w:val="24"/>
          <w:szCs w:val="24"/>
        </w:rPr>
      </w:pPr>
    </w:p>
    <w:p w14:paraId="1A726BFF" w14:textId="2DEB2DBE" w:rsidR="00715095" w:rsidRPr="004111CE" w:rsidRDefault="004111CE" w:rsidP="004111CE">
      <w:pPr>
        <w:pStyle w:val="xxmsonormal"/>
        <w:spacing w:line="252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Sincerely,</w:t>
      </w:r>
    </w:p>
    <w:sectPr w:rsidR="00715095" w:rsidRPr="004111CE" w:rsidSect="00482EB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CD8BB" w14:textId="77777777" w:rsidR="009C3159" w:rsidRDefault="009C3159" w:rsidP="009F0CCE">
      <w:pPr>
        <w:spacing w:after="0" w:line="240" w:lineRule="auto"/>
      </w:pPr>
      <w:r>
        <w:separator/>
      </w:r>
    </w:p>
  </w:endnote>
  <w:endnote w:type="continuationSeparator" w:id="0">
    <w:p w14:paraId="1B641FCA" w14:textId="77777777" w:rsidR="009C3159" w:rsidRDefault="009C3159" w:rsidP="009F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B2FD1" w14:textId="77777777" w:rsidR="009C3159" w:rsidRDefault="009C3159" w:rsidP="009F0CCE">
      <w:pPr>
        <w:spacing w:after="0" w:line="240" w:lineRule="auto"/>
      </w:pPr>
      <w:r>
        <w:separator/>
      </w:r>
    </w:p>
  </w:footnote>
  <w:footnote w:type="continuationSeparator" w:id="0">
    <w:p w14:paraId="0F59F629" w14:textId="77777777" w:rsidR="009C3159" w:rsidRDefault="009C3159" w:rsidP="009F0CCE">
      <w:pPr>
        <w:spacing w:after="0" w:line="240" w:lineRule="auto"/>
      </w:pPr>
      <w:r>
        <w:continuationSeparator/>
      </w:r>
    </w:p>
  </w:footnote>
  <w:footnote w:id="1">
    <w:p w14:paraId="78C2D7A1" w14:textId="4E763D88" w:rsidR="009F0CCE" w:rsidRPr="000A6E7C" w:rsidRDefault="009F0CCE">
      <w:pPr>
        <w:pStyle w:val="FootnoteText"/>
        <w:rPr>
          <w:sz w:val="22"/>
          <w:szCs w:val="22"/>
        </w:rPr>
      </w:pPr>
      <w:r w:rsidRPr="000A6E7C">
        <w:rPr>
          <w:rStyle w:val="FootnoteReference"/>
          <w:sz w:val="22"/>
          <w:szCs w:val="22"/>
        </w:rPr>
        <w:footnoteRef/>
      </w:r>
      <w:r w:rsidRPr="000A6E7C">
        <w:rPr>
          <w:sz w:val="22"/>
          <w:szCs w:val="22"/>
        </w:rPr>
        <w:t xml:space="preserve"> </w:t>
      </w:r>
      <w:hyperlink r:id="rId1" w:history="1">
        <w:r w:rsidRPr="000A6E7C">
          <w:rPr>
            <w:rStyle w:val="Hyperlink"/>
            <w:sz w:val="22"/>
            <w:szCs w:val="22"/>
          </w:rPr>
          <w:t>https://www.law.cornell.edu/uscode/text/5/553</w:t>
        </w:r>
      </w:hyperlink>
    </w:p>
  </w:footnote>
  <w:footnote w:id="2">
    <w:p w14:paraId="769F47B1" w14:textId="302A8A7D" w:rsidR="009F0CCE" w:rsidRPr="000A6E7C" w:rsidRDefault="009F0CCE">
      <w:pPr>
        <w:pStyle w:val="FootnoteText"/>
        <w:rPr>
          <w:sz w:val="22"/>
          <w:szCs w:val="22"/>
        </w:rPr>
      </w:pPr>
      <w:r w:rsidRPr="000A6E7C">
        <w:rPr>
          <w:rStyle w:val="FootnoteReference"/>
          <w:sz w:val="22"/>
          <w:szCs w:val="22"/>
        </w:rPr>
        <w:footnoteRef/>
      </w:r>
      <w:r w:rsidRPr="000A6E7C">
        <w:rPr>
          <w:sz w:val="22"/>
          <w:szCs w:val="22"/>
        </w:rPr>
        <w:t xml:space="preserve"> </w:t>
      </w:r>
      <w:hyperlink r:id="rId2" w:history="1">
        <w:r w:rsidRPr="000A6E7C">
          <w:rPr>
            <w:rStyle w:val="Hyperlink"/>
            <w:sz w:val="22"/>
            <w:szCs w:val="22"/>
          </w:rPr>
          <w:t>https://www.federalregister.gov/documents/2021/06/22/2021-13058/enforcement-of-title-ix-of-the-education-amendments-of-1972-with-respect-to-discrimination-based-on</w:t>
        </w:r>
      </w:hyperlink>
    </w:p>
  </w:footnote>
  <w:footnote w:id="3">
    <w:p w14:paraId="38EC318F" w14:textId="38A9F92B" w:rsidR="004B4A63" w:rsidRDefault="004B4A63">
      <w:pPr>
        <w:pStyle w:val="FootnoteText"/>
      </w:pPr>
      <w:r w:rsidRPr="000A6E7C">
        <w:rPr>
          <w:rStyle w:val="FootnoteReference"/>
          <w:sz w:val="22"/>
          <w:szCs w:val="22"/>
        </w:rPr>
        <w:footnoteRef/>
      </w:r>
      <w:r w:rsidRPr="000A6E7C">
        <w:rPr>
          <w:sz w:val="22"/>
          <w:szCs w:val="22"/>
        </w:rPr>
        <w:t xml:space="preserve"> </w:t>
      </w:r>
      <w:hyperlink r:id="rId3" w:history="1">
        <w:r w:rsidRPr="000A6E7C">
          <w:rPr>
            <w:rStyle w:val="Hyperlink"/>
            <w:rFonts w:cstheme="minorHAnsi"/>
            <w:sz w:val="22"/>
            <w:szCs w:val="22"/>
          </w:rPr>
          <w:t>https://www2.ed.gov/about/offices/list/ocr/correspondence/stakeholders/educator-202106-tix.pdf</w:t>
        </w:r>
      </w:hyperlink>
      <w:r>
        <w:rPr>
          <w:rFonts w:cstheme="minorHAnsi"/>
          <w:sz w:val="24"/>
          <w:szCs w:val="24"/>
        </w:rPr>
        <w:t xml:space="preserve">   </w:t>
      </w:r>
    </w:p>
  </w:footnote>
  <w:footnote w:id="4">
    <w:p w14:paraId="483D647A" w14:textId="77777777" w:rsidR="006D491F" w:rsidRPr="000A6E7C" w:rsidRDefault="006D491F" w:rsidP="006D491F">
      <w:pPr>
        <w:pStyle w:val="FootnoteText"/>
        <w:rPr>
          <w:sz w:val="22"/>
          <w:szCs w:val="22"/>
        </w:rPr>
      </w:pPr>
      <w:r w:rsidRPr="000A6E7C">
        <w:rPr>
          <w:rStyle w:val="FootnoteReference"/>
          <w:sz w:val="22"/>
          <w:szCs w:val="22"/>
        </w:rPr>
        <w:footnoteRef/>
      </w:r>
      <w:r w:rsidRPr="000A6E7C">
        <w:rPr>
          <w:sz w:val="22"/>
          <w:szCs w:val="22"/>
        </w:rPr>
        <w:t xml:space="preserve"> </w:t>
      </w:r>
      <w:hyperlink r:id="rId4" w:history="1">
        <w:r w:rsidRPr="000A6E7C">
          <w:rPr>
            <w:rStyle w:val="Hyperlink"/>
            <w:rFonts w:cstheme="minorHAnsi"/>
            <w:sz w:val="22"/>
            <w:szCs w:val="22"/>
          </w:rPr>
          <w:t>https://www.saveservices.org/wp-content/uploads/2023/08/AG-Complaint-8.21.2021.pdf</w:t>
        </w:r>
      </w:hyperlink>
      <w:r w:rsidRPr="000A6E7C">
        <w:rPr>
          <w:rFonts w:cstheme="minorHAnsi"/>
          <w:sz w:val="22"/>
          <w:szCs w:val="22"/>
        </w:rPr>
        <w:t xml:space="preserve"> </w:t>
      </w:r>
    </w:p>
  </w:footnote>
  <w:footnote w:id="5">
    <w:p w14:paraId="76447E40" w14:textId="77777777" w:rsidR="006D491F" w:rsidRPr="000A6E7C" w:rsidRDefault="006D491F" w:rsidP="006D491F">
      <w:pPr>
        <w:pStyle w:val="FootnoteText"/>
        <w:rPr>
          <w:sz w:val="22"/>
          <w:szCs w:val="22"/>
        </w:rPr>
      </w:pPr>
      <w:r w:rsidRPr="000A6E7C">
        <w:rPr>
          <w:rStyle w:val="FootnoteReference"/>
          <w:sz w:val="22"/>
          <w:szCs w:val="22"/>
        </w:rPr>
        <w:footnoteRef/>
      </w:r>
      <w:r w:rsidRPr="000A6E7C">
        <w:rPr>
          <w:sz w:val="22"/>
          <w:szCs w:val="22"/>
        </w:rPr>
        <w:t xml:space="preserve"> </w:t>
      </w:r>
      <w:hyperlink r:id="rId5" w:history="1">
        <w:r w:rsidRPr="000A6E7C">
          <w:rPr>
            <w:rStyle w:val="Hyperlink"/>
            <w:rFonts w:cstheme="minorHAnsi"/>
            <w:sz w:val="22"/>
            <w:szCs w:val="22"/>
          </w:rPr>
          <w:t>https://adfmedialegalfiles.blob.core.windows.net/files/TennesseeOrderOpinionPI.pdf</w:t>
        </w:r>
      </w:hyperlink>
    </w:p>
  </w:footnote>
  <w:footnote w:id="6">
    <w:p w14:paraId="65688E4E" w14:textId="77777777" w:rsidR="007903A9" w:rsidRPr="000A6E7C" w:rsidRDefault="007903A9" w:rsidP="007903A9">
      <w:pPr>
        <w:pStyle w:val="FootnoteText"/>
        <w:rPr>
          <w:sz w:val="22"/>
          <w:szCs w:val="22"/>
        </w:rPr>
      </w:pPr>
      <w:r w:rsidRPr="000A6E7C">
        <w:rPr>
          <w:rStyle w:val="FootnoteReference"/>
          <w:sz w:val="22"/>
          <w:szCs w:val="22"/>
        </w:rPr>
        <w:footnoteRef/>
      </w:r>
      <w:r w:rsidRPr="000A6E7C">
        <w:rPr>
          <w:sz w:val="22"/>
          <w:szCs w:val="22"/>
        </w:rPr>
        <w:t xml:space="preserve"> </w:t>
      </w:r>
      <w:hyperlink r:id="rId6" w:history="1">
        <w:r w:rsidRPr="000A6E7C">
          <w:rPr>
            <w:rStyle w:val="Hyperlink"/>
            <w:rFonts w:cstheme="minorHAnsi"/>
            <w:sz w:val="22"/>
            <w:szCs w:val="22"/>
          </w:rPr>
          <w:t>https://defendinged.org/investigations/list-of-school-district-transgender-gender-nonconforming-student-policies/</w:t>
        </w:r>
      </w:hyperlink>
      <w:r w:rsidRPr="000A6E7C">
        <w:rPr>
          <w:rStyle w:val="Hyperlink"/>
          <w:rFonts w:cstheme="minorHAnsi"/>
          <w:sz w:val="22"/>
          <w:szCs w:val="22"/>
        </w:rPr>
        <w:t xml:space="preserve"> </w:t>
      </w:r>
    </w:p>
  </w:footnote>
  <w:footnote w:id="7">
    <w:p w14:paraId="7C504A90" w14:textId="77777777" w:rsidR="00CA0DE8" w:rsidRPr="000A6E7C" w:rsidRDefault="00CA0DE8" w:rsidP="00CA0DE8">
      <w:pPr>
        <w:pStyle w:val="FootnoteText"/>
        <w:rPr>
          <w:sz w:val="22"/>
          <w:szCs w:val="22"/>
        </w:rPr>
      </w:pPr>
      <w:r w:rsidRPr="000A6E7C">
        <w:rPr>
          <w:rStyle w:val="FootnoteReference"/>
          <w:sz w:val="22"/>
          <w:szCs w:val="22"/>
        </w:rPr>
        <w:footnoteRef/>
      </w:r>
      <w:r w:rsidRPr="000A6E7C">
        <w:rPr>
          <w:sz w:val="22"/>
          <w:szCs w:val="22"/>
        </w:rPr>
        <w:t xml:space="preserve"> </w:t>
      </w:r>
      <w:bookmarkStart w:id="4" w:name="_Hlk148347183"/>
      <w:r>
        <w:fldChar w:fldCharType="begin"/>
      </w:r>
      <w:r>
        <w:instrText>HYPERLINK "https://williamsinstitute.law.ucla.edu/wp-content/uploads/Trans-Pop-Update-Jun-2022.pdf"</w:instrText>
      </w:r>
      <w:r>
        <w:fldChar w:fldCharType="separate"/>
      </w:r>
      <w:r w:rsidRPr="000A6E7C">
        <w:rPr>
          <w:rStyle w:val="Hyperlink"/>
          <w:sz w:val="22"/>
          <w:szCs w:val="22"/>
        </w:rPr>
        <w:t>https://williamsinstitute.law.ucla.edu/wp-content/uploads/Trans-Pop-Update-Jun-2022.pdf</w:t>
      </w:r>
      <w:r>
        <w:rPr>
          <w:rStyle w:val="Hyperlink"/>
          <w:sz w:val="22"/>
          <w:szCs w:val="22"/>
        </w:rPr>
        <w:fldChar w:fldCharType="end"/>
      </w:r>
      <w:r w:rsidRPr="000A6E7C">
        <w:rPr>
          <w:sz w:val="22"/>
          <w:szCs w:val="22"/>
        </w:rPr>
        <w:t xml:space="preserve"> </w:t>
      </w:r>
      <w:bookmarkEnd w:id="4"/>
    </w:p>
  </w:footnote>
  <w:footnote w:id="8">
    <w:p w14:paraId="311824A3" w14:textId="318A8A9B" w:rsidR="007C6743" w:rsidRPr="000A6E7C" w:rsidRDefault="007C6743">
      <w:pPr>
        <w:pStyle w:val="FootnoteText"/>
        <w:rPr>
          <w:sz w:val="22"/>
          <w:szCs w:val="22"/>
        </w:rPr>
      </w:pPr>
      <w:r w:rsidRPr="000A6E7C">
        <w:rPr>
          <w:rStyle w:val="FootnoteReference"/>
          <w:sz w:val="22"/>
          <w:szCs w:val="22"/>
        </w:rPr>
        <w:footnoteRef/>
      </w:r>
      <w:r w:rsidRPr="000A6E7C">
        <w:rPr>
          <w:sz w:val="22"/>
          <w:szCs w:val="22"/>
        </w:rPr>
        <w:t xml:space="preserve"> </w:t>
      </w:r>
      <w:hyperlink r:id="rId7" w:history="1">
        <w:r w:rsidRPr="000A6E7C">
          <w:rPr>
            <w:rStyle w:val="Hyperlink"/>
            <w:sz w:val="22"/>
            <w:szCs w:val="22"/>
          </w:rPr>
          <w:t>https://thehill.com/changing-america/well-being/mental-health/3570956-transgender-children-are-more-likely-to-face-mental-health-challenges-study-says/</w:t>
        </w:r>
      </w:hyperlink>
      <w:r w:rsidRPr="000A6E7C">
        <w:rPr>
          <w:sz w:val="22"/>
          <w:szCs w:val="22"/>
        </w:rPr>
        <w:t xml:space="preserve"> </w:t>
      </w:r>
    </w:p>
  </w:footnote>
  <w:footnote w:id="9">
    <w:p w14:paraId="560C115F" w14:textId="58DBCF0D" w:rsidR="007C6743" w:rsidRPr="000A6E7C" w:rsidRDefault="007C6743" w:rsidP="007C6743">
      <w:pPr>
        <w:pStyle w:val="FootnoteText"/>
        <w:rPr>
          <w:sz w:val="22"/>
          <w:szCs w:val="22"/>
        </w:rPr>
      </w:pPr>
      <w:r w:rsidRPr="000A6E7C">
        <w:rPr>
          <w:rStyle w:val="FootnoteReference"/>
          <w:sz w:val="22"/>
          <w:szCs w:val="22"/>
        </w:rPr>
        <w:footnoteRef/>
      </w:r>
      <w:r w:rsidRPr="000A6E7C">
        <w:rPr>
          <w:sz w:val="22"/>
          <w:szCs w:val="22"/>
        </w:rPr>
        <w:t xml:space="preserve"> </w:t>
      </w:r>
      <w:hyperlink r:id="rId8" w:history="1">
        <w:r w:rsidR="00180416" w:rsidRPr="00AC79D0">
          <w:rPr>
            <w:rStyle w:val="Hyperlink"/>
            <w:sz w:val="22"/>
            <w:szCs w:val="22"/>
          </w:rPr>
          <w:t>https://www.thetrevorproject.org/survey-2022/</w:t>
        </w:r>
      </w:hyperlink>
      <w:r w:rsidR="00180416">
        <w:rPr>
          <w:sz w:val="22"/>
          <w:szCs w:val="22"/>
        </w:rPr>
        <w:t xml:space="preserve"> </w:t>
      </w:r>
    </w:p>
  </w:footnote>
  <w:footnote w:id="10">
    <w:p w14:paraId="6EE3B8FF" w14:textId="354A13E6" w:rsidR="002748EE" w:rsidRPr="000A6E7C" w:rsidRDefault="002748EE">
      <w:pPr>
        <w:pStyle w:val="FootnoteText"/>
        <w:rPr>
          <w:sz w:val="22"/>
          <w:szCs w:val="22"/>
        </w:rPr>
      </w:pPr>
      <w:r w:rsidRPr="000A6E7C">
        <w:rPr>
          <w:rStyle w:val="FootnoteReference"/>
          <w:sz w:val="22"/>
          <w:szCs w:val="22"/>
        </w:rPr>
        <w:footnoteRef/>
      </w:r>
      <w:r w:rsidRPr="000A6E7C">
        <w:rPr>
          <w:sz w:val="22"/>
          <w:szCs w:val="22"/>
        </w:rPr>
        <w:t xml:space="preserve"> </w:t>
      </w:r>
      <w:hyperlink r:id="rId9" w:history="1">
        <w:r w:rsidRPr="000A6E7C">
          <w:rPr>
            <w:rStyle w:val="Hyperlink"/>
            <w:sz w:val="22"/>
            <w:szCs w:val="22"/>
          </w:rPr>
          <w:t>https://www.reuters.com/investigates/special-report/usa-transyouth-data/</w:t>
        </w:r>
      </w:hyperlink>
      <w:r w:rsidRPr="000A6E7C">
        <w:rPr>
          <w:sz w:val="22"/>
          <w:szCs w:val="22"/>
        </w:rPr>
        <w:t xml:space="preserve"> </w:t>
      </w:r>
    </w:p>
  </w:footnote>
  <w:footnote w:id="11">
    <w:p w14:paraId="4EADA0CF" w14:textId="167C186D" w:rsidR="00B155A0" w:rsidRDefault="00B155A0">
      <w:pPr>
        <w:pStyle w:val="FootnoteText"/>
      </w:pPr>
      <w:r w:rsidRPr="000A6E7C">
        <w:rPr>
          <w:rStyle w:val="FootnoteReference"/>
          <w:sz w:val="22"/>
          <w:szCs w:val="22"/>
        </w:rPr>
        <w:footnoteRef/>
      </w:r>
      <w:r w:rsidRPr="000A6E7C">
        <w:rPr>
          <w:sz w:val="22"/>
          <w:szCs w:val="22"/>
        </w:rPr>
        <w:t xml:space="preserve"> </w:t>
      </w:r>
      <w:bookmarkStart w:id="8" w:name="_Hlk148347243"/>
      <w:r>
        <w:fldChar w:fldCharType="begin"/>
      </w:r>
      <w:r>
        <w:instrText>HYPERLINK "https://www.goodreads.com/review/show/4067621127"</w:instrText>
      </w:r>
      <w:r>
        <w:fldChar w:fldCharType="separate"/>
      </w:r>
      <w:r w:rsidRPr="000A6E7C">
        <w:rPr>
          <w:rStyle w:val="Hyperlink"/>
          <w:sz w:val="22"/>
          <w:szCs w:val="22"/>
        </w:rPr>
        <w:t>https://www.goodreads.com/review/show/4067621127</w:t>
      </w:r>
      <w:r>
        <w:rPr>
          <w:rStyle w:val="Hyperlink"/>
          <w:sz w:val="22"/>
          <w:szCs w:val="22"/>
        </w:rPr>
        <w:fldChar w:fldCharType="end"/>
      </w:r>
      <w:r>
        <w:t xml:space="preserve"> </w:t>
      </w:r>
      <w:bookmarkEnd w:id="8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5E40"/>
    <w:multiLevelType w:val="hybridMultilevel"/>
    <w:tmpl w:val="9132C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454C0"/>
    <w:multiLevelType w:val="hybridMultilevel"/>
    <w:tmpl w:val="1166F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832BE"/>
    <w:multiLevelType w:val="hybridMultilevel"/>
    <w:tmpl w:val="B148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A5BA9"/>
    <w:multiLevelType w:val="hybridMultilevel"/>
    <w:tmpl w:val="3D88E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D24D0"/>
    <w:multiLevelType w:val="hybridMultilevel"/>
    <w:tmpl w:val="0220F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AA4C5B"/>
    <w:multiLevelType w:val="hybridMultilevel"/>
    <w:tmpl w:val="4FAE5A94"/>
    <w:lvl w:ilvl="0" w:tplc="E27A23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935748811">
    <w:abstractNumId w:val="1"/>
  </w:num>
  <w:num w:numId="2" w16cid:durableId="1043944778">
    <w:abstractNumId w:val="0"/>
  </w:num>
  <w:num w:numId="3" w16cid:durableId="1899126495">
    <w:abstractNumId w:val="3"/>
  </w:num>
  <w:num w:numId="4" w16cid:durableId="258300442">
    <w:abstractNumId w:val="2"/>
  </w:num>
  <w:num w:numId="5" w16cid:durableId="819276434">
    <w:abstractNumId w:val="4"/>
  </w:num>
  <w:num w:numId="6" w16cid:durableId="13317197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C27"/>
    <w:rsid w:val="0002048A"/>
    <w:rsid w:val="00022920"/>
    <w:rsid w:val="000359D8"/>
    <w:rsid w:val="000815C8"/>
    <w:rsid w:val="000A6E7C"/>
    <w:rsid w:val="000E631C"/>
    <w:rsid w:val="001201A5"/>
    <w:rsid w:val="00171217"/>
    <w:rsid w:val="00180416"/>
    <w:rsid w:val="00201D48"/>
    <w:rsid w:val="002228BE"/>
    <w:rsid w:val="002748EE"/>
    <w:rsid w:val="0035049A"/>
    <w:rsid w:val="00366D69"/>
    <w:rsid w:val="003C3768"/>
    <w:rsid w:val="003C6991"/>
    <w:rsid w:val="003D3429"/>
    <w:rsid w:val="003E47FB"/>
    <w:rsid w:val="003F19A9"/>
    <w:rsid w:val="004111CE"/>
    <w:rsid w:val="00482EB9"/>
    <w:rsid w:val="004B4A63"/>
    <w:rsid w:val="004C3601"/>
    <w:rsid w:val="0051353B"/>
    <w:rsid w:val="00540897"/>
    <w:rsid w:val="00553559"/>
    <w:rsid w:val="00557381"/>
    <w:rsid w:val="00560328"/>
    <w:rsid w:val="00665D7A"/>
    <w:rsid w:val="00686FA4"/>
    <w:rsid w:val="006D17C8"/>
    <w:rsid w:val="006D3BBE"/>
    <w:rsid w:val="006D491F"/>
    <w:rsid w:val="00715095"/>
    <w:rsid w:val="007903A9"/>
    <w:rsid w:val="007C6743"/>
    <w:rsid w:val="007F2C27"/>
    <w:rsid w:val="008D1305"/>
    <w:rsid w:val="009A1920"/>
    <w:rsid w:val="009C3159"/>
    <w:rsid w:val="009F0CCE"/>
    <w:rsid w:val="009F64FE"/>
    <w:rsid w:val="00A46C5D"/>
    <w:rsid w:val="00A8369F"/>
    <w:rsid w:val="00A92910"/>
    <w:rsid w:val="00AA47D8"/>
    <w:rsid w:val="00B155A0"/>
    <w:rsid w:val="00B7504B"/>
    <w:rsid w:val="00BE3A2B"/>
    <w:rsid w:val="00C46B31"/>
    <w:rsid w:val="00CA0DE8"/>
    <w:rsid w:val="00D2267E"/>
    <w:rsid w:val="00D32C2E"/>
    <w:rsid w:val="00D5743F"/>
    <w:rsid w:val="00D72C5C"/>
    <w:rsid w:val="00D910B3"/>
    <w:rsid w:val="00DB39D8"/>
    <w:rsid w:val="00DF5816"/>
    <w:rsid w:val="00E2509F"/>
    <w:rsid w:val="00E55529"/>
    <w:rsid w:val="00E824EC"/>
    <w:rsid w:val="00EB2C77"/>
    <w:rsid w:val="00ED7F9E"/>
    <w:rsid w:val="00F83170"/>
    <w:rsid w:val="00FC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E95CE"/>
  <w15:chartTrackingRefBased/>
  <w15:docId w15:val="{B07AD7BB-EDDE-40F3-A04C-B0500069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2C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2C27"/>
    <w:pPr>
      <w:ind w:left="720"/>
      <w:contextualSpacing/>
    </w:pPr>
  </w:style>
  <w:style w:type="paragraph" w:customStyle="1" w:styleId="xxmsonormal">
    <w:name w:val="x_xmsonormal"/>
    <w:basedOn w:val="Normal"/>
    <w:rsid w:val="007F2C27"/>
    <w:pPr>
      <w:spacing w:after="0" w:line="240" w:lineRule="auto"/>
    </w:pPr>
    <w:rPr>
      <w:rFonts w:ascii="Calibri" w:hAnsi="Calibri" w:cs="Calibri"/>
      <w:kern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0C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0C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0CC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D3B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C6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trevorproject.org/survey-2022/" TargetMode="External"/><Relationship Id="rId3" Type="http://schemas.openxmlformats.org/officeDocument/2006/relationships/hyperlink" Target="https://www2.ed.gov/about/offices/list/ocr/correspondence/stakeholders/educator-202106-tix.pdf" TargetMode="External"/><Relationship Id="rId7" Type="http://schemas.openxmlformats.org/officeDocument/2006/relationships/hyperlink" Target="https://thehill.com/changing-america/well-being/mental-health/3570956-transgender-children-are-more-likely-to-face-mental-health-challenges-study-says/" TargetMode="External"/><Relationship Id="rId2" Type="http://schemas.openxmlformats.org/officeDocument/2006/relationships/hyperlink" Target="https://www.federalregister.gov/documents/2021/06/22/2021-13058/enforcement-of-title-ix-of-the-education-amendments-of-1972-with-respect-to-discrimination-based-on" TargetMode="External"/><Relationship Id="rId1" Type="http://schemas.openxmlformats.org/officeDocument/2006/relationships/hyperlink" Target="https://www.law.cornell.edu/uscode/text/5/553" TargetMode="External"/><Relationship Id="rId6" Type="http://schemas.openxmlformats.org/officeDocument/2006/relationships/hyperlink" Target="https://defendinged.org/investigations/list-of-school-district-transgender-gender-nonconforming-student-policies/" TargetMode="External"/><Relationship Id="rId5" Type="http://schemas.openxmlformats.org/officeDocument/2006/relationships/hyperlink" Target="https://adfmedialegalfiles.blob.core.windows.net/files/TennesseeOrderOpinionPI.pdf" TargetMode="External"/><Relationship Id="rId4" Type="http://schemas.openxmlformats.org/officeDocument/2006/relationships/hyperlink" Target="https://www.saveservices.org/wp-content/uploads/2023/08/AG-Complaint-8.21.2021.pdf" TargetMode="External"/><Relationship Id="rId9" Type="http://schemas.openxmlformats.org/officeDocument/2006/relationships/hyperlink" Target="https://www.reuters.com/investigates/special-report/usa-transyouth-da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99DA9-9245-468B-9D68-3EE51768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Bartlett</dc:creator>
  <cp:keywords/>
  <dc:description/>
  <cp:lastModifiedBy>Lashelle Thompson</cp:lastModifiedBy>
  <cp:revision>2</cp:revision>
  <cp:lastPrinted>2023-10-16T14:21:00Z</cp:lastPrinted>
  <dcterms:created xsi:type="dcterms:W3CDTF">2023-10-18T11:40:00Z</dcterms:created>
  <dcterms:modified xsi:type="dcterms:W3CDTF">2023-10-18T11:40:00Z</dcterms:modified>
</cp:coreProperties>
</file>